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A806" w14:textId="77777777" w:rsidR="00A01696" w:rsidRDefault="00A01696" w:rsidP="00BF1AE6">
      <w:pPr>
        <w:pStyle w:val="Heading1"/>
      </w:pPr>
      <w:r w:rsidRPr="00A01696">
        <w:t>EAST SUSSEX HIGHWAYS</w:t>
      </w:r>
    </w:p>
    <w:p w14:paraId="2A91E3D2" w14:textId="22E47CAC" w:rsidR="00A01696" w:rsidRPr="009503F7" w:rsidRDefault="00BF1AE6" w:rsidP="00BF1AE6">
      <w:r>
        <w:t>Procedure for licensing the discharge of treated effluent from private drainage systems into the highway drainage system</w:t>
      </w:r>
    </w:p>
    <w:p w14:paraId="39DDA982" w14:textId="354A8543" w:rsidR="00A01696" w:rsidRDefault="00BF1AE6" w:rsidP="00BF1AE6">
      <w:pPr>
        <w:pStyle w:val="Heading2"/>
        <w:rPr>
          <w:rFonts w:eastAsia="Times New Roman"/>
          <w:b w:val="0"/>
          <w:lang w:eastAsia="en-GB"/>
        </w:rPr>
      </w:pPr>
      <w:r w:rsidRPr="00A01696">
        <w:rPr>
          <w:rFonts w:eastAsia="Times New Roman"/>
          <w:lang w:eastAsia="en-GB"/>
        </w:rPr>
        <w:t>Legal position</w:t>
      </w:r>
    </w:p>
    <w:p w14:paraId="6F0146EC" w14:textId="77777777" w:rsidR="00A01696" w:rsidRPr="00A01696" w:rsidRDefault="00A01696" w:rsidP="00BF1AE6">
      <w:pPr>
        <w:rPr>
          <w:rFonts w:ascii="Times New Roman" w:hAnsi="Times New Roman" w:cs="Times New Roman"/>
          <w:sz w:val="24"/>
          <w:szCs w:val="24"/>
          <w:lang w:eastAsia="en-GB"/>
        </w:rPr>
      </w:pPr>
      <w:r w:rsidRPr="00A01696">
        <w:rPr>
          <w:lang w:eastAsia="en-GB"/>
        </w:rPr>
        <w:t xml:space="preserve">It should be borne in mind that East Sussex </w:t>
      </w:r>
      <w:r w:rsidR="009503F7">
        <w:rPr>
          <w:lang w:eastAsia="en-GB"/>
        </w:rPr>
        <w:t>Highways</w:t>
      </w:r>
      <w:r w:rsidRPr="00A01696">
        <w:rPr>
          <w:lang w:eastAsia="en-GB"/>
        </w:rPr>
        <w:t xml:space="preserve"> </w:t>
      </w:r>
      <w:r w:rsidRPr="00A01696">
        <w:rPr>
          <w:b/>
          <w:bCs/>
          <w:u w:val="single"/>
          <w:lang w:eastAsia="en-GB"/>
        </w:rPr>
        <w:t>does not</w:t>
      </w:r>
      <w:r w:rsidRPr="00A01696">
        <w:rPr>
          <w:lang w:eastAsia="en-GB"/>
        </w:rPr>
        <w:t xml:space="preserve"> have a duty to allow private drainage systems to discharge into its highway drainage system (HDS).  It will, however, give applications consideration when there is no other alternative means of disposal and that it is a last resort measure, providing the HDS is in a good state of repair and not working to its maximum capacity.</w:t>
      </w:r>
    </w:p>
    <w:p w14:paraId="79CEC412" w14:textId="3E01E6CB" w:rsidR="00A01696" w:rsidRDefault="00BF1AE6" w:rsidP="00BF1AE6">
      <w:pPr>
        <w:pStyle w:val="Heading2"/>
        <w:rPr>
          <w:rFonts w:eastAsia="Times New Roman"/>
          <w:lang w:eastAsia="en-GB"/>
        </w:rPr>
      </w:pPr>
      <w:r w:rsidRPr="00A01696">
        <w:rPr>
          <w:rFonts w:eastAsia="Times New Roman"/>
          <w:lang w:eastAsia="en-GB"/>
        </w:rPr>
        <w:t>Requirements</w:t>
      </w:r>
    </w:p>
    <w:p w14:paraId="48638F38" w14:textId="77777777" w:rsidR="00A01696" w:rsidRPr="00A01696" w:rsidRDefault="00A01696" w:rsidP="00BF1AE6">
      <w:pPr>
        <w:rPr>
          <w:rFonts w:ascii="Times New Roman" w:hAnsi="Times New Roman" w:cs="Times New Roman"/>
          <w:sz w:val="24"/>
          <w:szCs w:val="24"/>
          <w:lang w:eastAsia="en-GB"/>
        </w:rPr>
      </w:pPr>
      <w:r w:rsidRPr="00A01696">
        <w:rPr>
          <w:lang w:eastAsia="en-GB"/>
        </w:rPr>
        <w:t xml:space="preserve">Should this Authority be minded to grant a licence the following will need to be </w:t>
      </w:r>
      <w:proofErr w:type="gramStart"/>
      <w:r w:rsidRPr="00A01696">
        <w:rPr>
          <w:lang w:eastAsia="en-GB"/>
        </w:rPr>
        <w:t>submitted:-</w:t>
      </w:r>
      <w:proofErr w:type="gramEnd"/>
    </w:p>
    <w:p w14:paraId="205ECE04" w14:textId="77777777" w:rsidR="00A01696" w:rsidRPr="00A01696" w:rsidRDefault="00A01696" w:rsidP="00BF1AE6">
      <w:pPr>
        <w:pStyle w:val="ListParagraph"/>
        <w:numPr>
          <w:ilvl w:val="0"/>
          <w:numId w:val="6"/>
        </w:numPr>
        <w:rPr>
          <w:lang w:eastAsia="en-GB"/>
        </w:rPr>
      </w:pPr>
      <w:r w:rsidRPr="00A01696">
        <w:rPr>
          <w:lang w:eastAsia="en-GB"/>
        </w:rPr>
        <w:t>Proof that you are unable to dispose of the eff</w:t>
      </w:r>
      <w:r w:rsidR="009503F7">
        <w:rPr>
          <w:lang w:eastAsia="en-GB"/>
        </w:rPr>
        <w:t>luent by any other means (</w:t>
      </w:r>
      <w:proofErr w:type="gramStart"/>
      <w:r w:rsidR="009503F7">
        <w:rPr>
          <w:lang w:eastAsia="en-GB"/>
        </w:rPr>
        <w:t>i.e.</w:t>
      </w:r>
      <w:proofErr w:type="gramEnd"/>
      <w:r w:rsidRPr="00A01696">
        <w:rPr>
          <w:lang w:eastAsia="en-GB"/>
        </w:rPr>
        <w:t> permeability tests).</w:t>
      </w:r>
    </w:p>
    <w:p w14:paraId="70123762" w14:textId="77777777" w:rsidR="00A01696" w:rsidRPr="00A01696" w:rsidRDefault="00A01696" w:rsidP="00BF1AE6">
      <w:pPr>
        <w:pStyle w:val="ListParagraph"/>
        <w:numPr>
          <w:ilvl w:val="0"/>
          <w:numId w:val="6"/>
        </w:numPr>
        <w:rPr>
          <w:lang w:eastAsia="en-GB"/>
        </w:rPr>
      </w:pPr>
      <w:r w:rsidRPr="00A01696">
        <w:rPr>
          <w:lang w:eastAsia="en-GB"/>
        </w:rPr>
        <w:t xml:space="preserve">Proof that the HDS is in a good state of repair and capable of receiving an increased flow (CCTV and calculations). </w:t>
      </w:r>
    </w:p>
    <w:p w14:paraId="05E392D5" w14:textId="77777777" w:rsidR="00A01696" w:rsidRPr="00A01696" w:rsidRDefault="00A01696" w:rsidP="00BF1AE6">
      <w:pPr>
        <w:pStyle w:val="ListParagraph"/>
        <w:numPr>
          <w:ilvl w:val="0"/>
          <w:numId w:val="6"/>
        </w:numPr>
        <w:rPr>
          <w:lang w:eastAsia="en-GB"/>
        </w:rPr>
      </w:pPr>
      <w:r w:rsidRPr="00A01696">
        <w:rPr>
          <w:lang w:eastAsia="en-GB"/>
        </w:rPr>
        <w:t>Confirmation from the manufacturer of the treatment plant that the treated water effluent quality is a minimum of 20:30</w:t>
      </w:r>
      <w:proofErr w:type="gramStart"/>
      <w:r w:rsidRPr="00A01696">
        <w:rPr>
          <w:lang w:eastAsia="en-GB"/>
        </w:rPr>
        <w:t>.  This</w:t>
      </w:r>
      <w:proofErr w:type="gramEnd"/>
      <w:r w:rsidRPr="00A01696">
        <w:rPr>
          <w:lang w:eastAsia="en-GB"/>
        </w:rPr>
        <w:t xml:space="preserve"> means that the maximum permissible BOD, (biochemical oxygen demand) is 20ppm (parts per million), and the maximum permissible SS, (Suspended Solids) is 30ppm, or as recommended by the Environment Agency (EA), whichever is less.</w:t>
      </w:r>
    </w:p>
    <w:p w14:paraId="06849BF9" w14:textId="77777777" w:rsidR="00A01696" w:rsidRPr="00A01696" w:rsidRDefault="00A01696" w:rsidP="00BF1AE6">
      <w:pPr>
        <w:pStyle w:val="ListParagraph"/>
        <w:numPr>
          <w:ilvl w:val="0"/>
          <w:numId w:val="6"/>
        </w:numPr>
        <w:rPr>
          <w:lang w:eastAsia="en-GB"/>
        </w:rPr>
      </w:pPr>
      <w:r w:rsidRPr="00A01696">
        <w:rPr>
          <w:lang w:eastAsia="en-GB"/>
        </w:rPr>
        <w:t>Written permission of the landowner, where the HDS discharges/flows into a pond, to allow the treated effluent to discharge.</w:t>
      </w:r>
    </w:p>
    <w:p w14:paraId="2860417A" w14:textId="77777777" w:rsidR="00A01696" w:rsidRPr="00A01696" w:rsidRDefault="00A01696" w:rsidP="00BF1AE6">
      <w:pPr>
        <w:pStyle w:val="ListParagraph"/>
        <w:numPr>
          <w:ilvl w:val="0"/>
          <w:numId w:val="6"/>
        </w:numPr>
        <w:rPr>
          <w:lang w:eastAsia="en-GB"/>
        </w:rPr>
      </w:pPr>
      <w:r w:rsidRPr="00A01696">
        <w:rPr>
          <w:lang w:eastAsia="en-GB"/>
        </w:rPr>
        <w:t>Building Regulation Approval.</w:t>
      </w:r>
    </w:p>
    <w:p w14:paraId="0FBCAAA2" w14:textId="77777777" w:rsidR="00A01696" w:rsidRPr="00A01696" w:rsidRDefault="00A01696" w:rsidP="00BF1AE6">
      <w:pPr>
        <w:pStyle w:val="ListParagraph"/>
        <w:numPr>
          <w:ilvl w:val="0"/>
          <w:numId w:val="6"/>
        </w:numPr>
        <w:rPr>
          <w:lang w:eastAsia="en-GB"/>
        </w:rPr>
      </w:pPr>
      <w:r w:rsidRPr="00A01696">
        <w:rPr>
          <w:lang w:eastAsia="en-GB"/>
        </w:rPr>
        <w:t>Any necessary planning permissions.</w:t>
      </w:r>
    </w:p>
    <w:p w14:paraId="53EABD00" w14:textId="77777777" w:rsidR="00A01696" w:rsidRPr="00A01696" w:rsidRDefault="00A01696" w:rsidP="00BF1AE6">
      <w:pPr>
        <w:pStyle w:val="ListParagraph"/>
        <w:numPr>
          <w:ilvl w:val="0"/>
          <w:numId w:val="6"/>
        </w:numPr>
        <w:rPr>
          <w:lang w:eastAsia="en-GB"/>
        </w:rPr>
      </w:pPr>
      <w:r w:rsidRPr="00A01696">
        <w:rPr>
          <w:lang w:eastAsia="en-GB"/>
        </w:rPr>
        <w:t>A copy of Public Liability insurance which must be for a minimum of £10,000,000 (usually household insurance covers).</w:t>
      </w:r>
    </w:p>
    <w:p w14:paraId="6F619305" w14:textId="77777777" w:rsidR="00A01696" w:rsidRPr="00BF1AE6" w:rsidRDefault="00A01696" w:rsidP="00BF1AE6">
      <w:pPr>
        <w:pStyle w:val="ListParagraph"/>
        <w:numPr>
          <w:ilvl w:val="0"/>
          <w:numId w:val="6"/>
        </w:numPr>
        <w:rPr>
          <w:rFonts w:ascii="Times New Roman" w:hAnsi="Times New Roman" w:cs="Times New Roman"/>
          <w:sz w:val="24"/>
          <w:szCs w:val="24"/>
          <w:lang w:eastAsia="en-GB"/>
        </w:rPr>
      </w:pPr>
      <w:r w:rsidRPr="00A01696">
        <w:rPr>
          <w:lang w:eastAsia="en-GB"/>
        </w:rPr>
        <w:t xml:space="preserve">East Sussex </w:t>
      </w:r>
      <w:r w:rsidR="00755710">
        <w:rPr>
          <w:lang w:eastAsia="en-GB"/>
        </w:rPr>
        <w:t>Highways</w:t>
      </w:r>
      <w:r w:rsidRPr="00A01696">
        <w:rPr>
          <w:lang w:eastAsia="en-GB"/>
        </w:rPr>
        <w:t xml:space="preserve"> will not be liable for the discharge to waterways, </w:t>
      </w:r>
      <w:proofErr w:type="gramStart"/>
      <w:r w:rsidRPr="00A01696">
        <w:rPr>
          <w:lang w:eastAsia="en-GB"/>
        </w:rPr>
        <w:t>ponds</w:t>
      </w:r>
      <w:proofErr w:type="gramEnd"/>
      <w:r w:rsidRPr="00A01696">
        <w:rPr>
          <w:lang w:eastAsia="en-GB"/>
        </w:rPr>
        <w:t xml:space="preserve"> or ditches.</w:t>
      </w:r>
    </w:p>
    <w:p w14:paraId="0D5227D9" w14:textId="77777777" w:rsidR="00A01696" w:rsidRPr="00A01696" w:rsidRDefault="00A01696" w:rsidP="00BF1AE6">
      <w:pPr>
        <w:pStyle w:val="ListParagraph"/>
        <w:numPr>
          <w:ilvl w:val="0"/>
          <w:numId w:val="6"/>
        </w:numPr>
        <w:rPr>
          <w:lang w:eastAsia="en-GB"/>
        </w:rPr>
      </w:pPr>
      <w:r w:rsidRPr="00A01696">
        <w:rPr>
          <w:lang w:eastAsia="en-GB"/>
        </w:rPr>
        <w:t>Detailed drawings together with 1:1250 site plan showing discharge point.</w:t>
      </w:r>
    </w:p>
    <w:p w14:paraId="64EB2D56" w14:textId="77777777" w:rsidR="00A01696" w:rsidRDefault="00A01696" w:rsidP="00BF1AE6">
      <w:pPr>
        <w:rPr>
          <w:lang w:eastAsia="en-GB"/>
        </w:rPr>
      </w:pPr>
      <w:r w:rsidRPr="00A01696">
        <w:rPr>
          <w:lang w:eastAsia="en-GB"/>
        </w:rPr>
        <w:t xml:space="preserve">Further </w:t>
      </w:r>
      <w:proofErr w:type="gramStart"/>
      <w:r w:rsidRPr="00A01696">
        <w:rPr>
          <w:lang w:eastAsia="en-GB"/>
        </w:rPr>
        <w:t>requirements:-</w:t>
      </w:r>
      <w:proofErr w:type="gramEnd"/>
    </w:p>
    <w:p w14:paraId="38BB0E3F" w14:textId="77777777" w:rsidR="00A01696" w:rsidRPr="00A01696" w:rsidRDefault="00A01696" w:rsidP="00BF1AE6">
      <w:pPr>
        <w:pStyle w:val="ListParagraph"/>
        <w:numPr>
          <w:ilvl w:val="0"/>
          <w:numId w:val="6"/>
        </w:numPr>
        <w:rPr>
          <w:lang w:eastAsia="en-GB"/>
        </w:rPr>
      </w:pPr>
      <w:r w:rsidRPr="00A01696">
        <w:rPr>
          <w:lang w:eastAsia="en-GB"/>
        </w:rPr>
        <w:t>A separate water testing point to be provided prior to the HDS.</w:t>
      </w:r>
    </w:p>
    <w:p w14:paraId="4B0DDA6E" w14:textId="5A5CD085" w:rsidR="009503F7" w:rsidRPr="008259C9" w:rsidRDefault="00A01696" w:rsidP="00BF1AE6">
      <w:pPr>
        <w:pStyle w:val="ListParagraph"/>
        <w:numPr>
          <w:ilvl w:val="0"/>
          <w:numId w:val="6"/>
        </w:numPr>
        <w:rPr>
          <w:lang w:eastAsia="en-GB"/>
        </w:rPr>
      </w:pPr>
      <w:r w:rsidRPr="008259C9">
        <w:rPr>
          <w:lang w:eastAsia="en-GB"/>
        </w:rPr>
        <w:lastRenderedPageBreak/>
        <w:t>All treated effluent to discharge into a soakaway with only a 50mm diameter overflow pipe connected to the HDS.  Should the subsoil be totally impermeable then provision must be given to store a minimum of 150 litres of treated effluent with a 50mm diameter reducer pipe connected to the HDS.</w:t>
      </w:r>
    </w:p>
    <w:p w14:paraId="1C15C2BA" w14:textId="77777777" w:rsidR="00A01696" w:rsidRPr="00A01696" w:rsidRDefault="00A01696" w:rsidP="00BF1AE6">
      <w:pPr>
        <w:pStyle w:val="ListParagraph"/>
        <w:numPr>
          <w:ilvl w:val="0"/>
          <w:numId w:val="6"/>
        </w:numPr>
        <w:rPr>
          <w:lang w:eastAsia="en-GB"/>
        </w:rPr>
      </w:pPr>
      <w:r w:rsidRPr="00A01696">
        <w:rPr>
          <w:lang w:eastAsia="en-GB"/>
        </w:rPr>
        <w:t xml:space="preserve">Where connection is to our direct drainage system an inspection chamber is to be constructed.  If the discharge is to a ditch a concrete bag wall is to be constructed </w:t>
      </w:r>
      <w:r w:rsidR="00A169AF">
        <w:rPr>
          <w:lang w:eastAsia="en-GB"/>
        </w:rPr>
        <w:t>as shown in the specifications and drawing attached at Appendix A</w:t>
      </w:r>
    </w:p>
    <w:p w14:paraId="09DC1764" w14:textId="35B85888" w:rsidR="00A01696" w:rsidRDefault="00A01696" w:rsidP="00BF1AE6">
      <w:pPr>
        <w:rPr>
          <w:lang w:eastAsia="en-GB"/>
        </w:rPr>
      </w:pPr>
      <w:r w:rsidRPr="00A01696">
        <w:rPr>
          <w:lang w:eastAsia="en-GB"/>
        </w:rPr>
        <w:t xml:space="preserve">Connections to road gullies </w:t>
      </w:r>
      <w:r w:rsidRPr="00A01696">
        <w:rPr>
          <w:b/>
          <w:u w:val="single"/>
          <w:lang w:eastAsia="en-GB"/>
        </w:rPr>
        <w:t>will not</w:t>
      </w:r>
      <w:r w:rsidRPr="00A01696">
        <w:rPr>
          <w:lang w:eastAsia="en-GB"/>
        </w:rPr>
        <w:t xml:space="preserve"> be permitted.</w:t>
      </w:r>
    </w:p>
    <w:p w14:paraId="7325BC34" w14:textId="13571658" w:rsidR="00A01696" w:rsidRDefault="00BF1AE6" w:rsidP="00BF1AE6">
      <w:pPr>
        <w:pStyle w:val="Heading2"/>
        <w:rPr>
          <w:rFonts w:eastAsia="Times New Roman"/>
          <w:lang w:eastAsia="en-GB"/>
        </w:rPr>
      </w:pPr>
      <w:r w:rsidRPr="00A01696">
        <w:rPr>
          <w:rFonts w:eastAsia="Times New Roman"/>
          <w:lang w:eastAsia="en-GB"/>
        </w:rPr>
        <w:t>Commuted sum</w:t>
      </w:r>
      <w:r w:rsidR="00AE1293">
        <w:rPr>
          <w:rFonts w:eastAsia="Times New Roman"/>
          <w:lang w:eastAsia="en-GB"/>
        </w:rPr>
        <w:t xml:space="preserve"> – (Licence Fee)</w:t>
      </w:r>
    </w:p>
    <w:p w14:paraId="106EE292" w14:textId="210A4022" w:rsidR="00A01696" w:rsidRPr="00A01696" w:rsidRDefault="00A01696" w:rsidP="00BF1AE6">
      <w:pPr>
        <w:rPr>
          <w:rFonts w:ascii="Times New Roman" w:hAnsi="Times New Roman" w:cs="Times New Roman"/>
          <w:sz w:val="24"/>
          <w:szCs w:val="24"/>
          <w:lang w:eastAsia="en-GB"/>
        </w:rPr>
      </w:pPr>
      <w:r w:rsidRPr="00A01696">
        <w:rPr>
          <w:lang w:eastAsia="en-GB"/>
        </w:rPr>
        <w:t xml:space="preserve">It should be noted that clause 4(e) of the licence requires a ‘commuted sum’ for each property, to be made payable to East Sussex </w:t>
      </w:r>
      <w:r w:rsidR="00755710">
        <w:rPr>
          <w:lang w:eastAsia="en-GB"/>
        </w:rPr>
        <w:t>Highways</w:t>
      </w:r>
      <w:r w:rsidRPr="00A01696">
        <w:rPr>
          <w:lang w:eastAsia="en-GB"/>
        </w:rPr>
        <w:t xml:space="preserve"> in full.</w:t>
      </w:r>
      <w:r w:rsidR="008A05EB">
        <w:rPr>
          <w:lang w:eastAsia="en-GB"/>
        </w:rPr>
        <w:t xml:space="preserve"> The current </w:t>
      </w:r>
      <w:r w:rsidR="00AC1945">
        <w:rPr>
          <w:lang w:eastAsia="en-GB"/>
        </w:rPr>
        <w:t>‘commuted sum’</w:t>
      </w:r>
      <w:r w:rsidR="008A05EB">
        <w:rPr>
          <w:lang w:eastAsia="en-GB"/>
        </w:rPr>
        <w:t xml:space="preserve"> can be found on our fee structure </w:t>
      </w:r>
      <w:r w:rsidR="008259C9">
        <w:rPr>
          <w:lang w:eastAsia="en-GB"/>
        </w:rPr>
        <w:t xml:space="preserve">online. </w:t>
      </w:r>
    </w:p>
    <w:p w14:paraId="79E27783" w14:textId="77777777" w:rsidR="00A01696" w:rsidRDefault="00AE1293" w:rsidP="00BF1AE6">
      <w:pPr>
        <w:pStyle w:val="Heading2"/>
        <w:rPr>
          <w:rFonts w:eastAsia="Times New Roman"/>
          <w:lang w:eastAsia="en-GB"/>
        </w:rPr>
      </w:pPr>
      <w:r>
        <w:rPr>
          <w:rFonts w:eastAsia="Times New Roman"/>
          <w:lang w:eastAsia="en-GB"/>
        </w:rPr>
        <w:t xml:space="preserve">S171 </w:t>
      </w:r>
      <w:r w:rsidR="002165CD">
        <w:rPr>
          <w:rFonts w:eastAsia="Times New Roman"/>
          <w:lang w:eastAsia="en-GB"/>
        </w:rPr>
        <w:t xml:space="preserve">Highways Act 1980 - </w:t>
      </w:r>
      <w:r>
        <w:rPr>
          <w:rFonts w:eastAsia="Times New Roman"/>
          <w:lang w:eastAsia="en-GB"/>
        </w:rPr>
        <w:t>Licence Fee</w:t>
      </w:r>
      <w:r w:rsidR="002165CD">
        <w:rPr>
          <w:rFonts w:eastAsia="Times New Roman"/>
          <w:lang w:eastAsia="en-GB"/>
        </w:rPr>
        <w:t xml:space="preserve"> for t</w:t>
      </w:r>
      <w:r>
        <w:rPr>
          <w:rFonts w:eastAsia="Times New Roman"/>
          <w:lang w:eastAsia="en-GB"/>
        </w:rPr>
        <w:t>emporary excavation in the highway)</w:t>
      </w:r>
    </w:p>
    <w:p w14:paraId="78F2A7CE" w14:textId="0D2398E9" w:rsidR="00A01696" w:rsidRPr="00BF1AE6" w:rsidRDefault="002165CD" w:rsidP="00BF1AE6">
      <w:pPr>
        <w:rPr>
          <w:b/>
          <w:lang w:eastAsia="en-GB"/>
        </w:rPr>
      </w:pPr>
      <w:r>
        <w:rPr>
          <w:lang w:eastAsia="en-GB"/>
        </w:rPr>
        <w:t xml:space="preserve">This licence fee is only applicable where any private apparatus is installed on the public highway.  The </w:t>
      </w:r>
      <w:r w:rsidR="00A01696" w:rsidRPr="00A01696">
        <w:rPr>
          <w:lang w:eastAsia="en-GB"/>
        </w:rPr>
        <w:t xml:space="preserve">Licensee(s) will </w:t>
      </w:r>
      <w:r>
        <w:rPr>
          <w:lang w:eastAsia="en-GB"/>
        </w:rPr>
        <w:t>need</w:t>
      </w:r>
      <w:r w:rsidR="00A01696" w:rsidRPr="00A01696">
        <w:rPr>
          <w:lang w:eastAsia="en-GB"/>
        </w:rPr>
        <w:t xml:space="preserve"> to apply for an opening licence which enables</w:t>
      </w:r>
      <w:r>
        <w:rPr>
          <w:lang w:eastAsia="en-GB"/>
        </w:rPr>
        <w:t xml:space="preserve"> the</w:t>
      </w:r>
      <w:r w:rsidR="00A01696" w:rsidRPr="00A01696">
        <w:rPr>
          <w:lang w:eastAsia="en-GB"/>
        </w:rPr>
        <w:t xml:space="preserve"> private apparatus to be maintained within the confines of the public highway </w:t>
      </w:r>
      <w:r w:rsidR="00A01696" w:rsidRPr="00A01696">
        <w:rPr>
          <w:b/>
          <w:lang w:eastAsia="en-GB"/>
        </w:rPr>
        <w:t>(</w:t>
      </w:r>
      <w:r w:rsidR="00A01696" w:rsidRPr="00BF1AE6">
        <w:rPr>
          <w:b/>
          <w:highlight w:val="cyan"/>
          <w:lang w:eastAsia="en-GB"/>
        </w:rPr>
        <w:t>licence fee is £</w:t>
      </w:r>
      <w:r w:rsidR="00905C99" w:rsidRPr="00BF1AE6">
        <w:rPr>
          <w:b/>
          <w:highlight w:val="cyan"/>
          <w:lang w:eastAsia="en-GB"/>
        </w:rPr>
        <w:t>3</w:t>
      </w:r>
      <w:r w:rsidRPr="00BF1AE6">
        <w:rPr>
          <w:b/>
          <w:highlight w:val="cyan"/>
          <w:lang w:eastAsia="en-GB"/>
        </w:rPr>
        <w:t>80</w:t>
      </w:r>
      <w:r w:rsidR="00A01696" w:rsidRPr="00BF1AE6">
        <w:rPr>
          <w:b/>
          <w:highlight w:val="cyan"/>
          <w:lang w:eastAsia="en-GB"/>
        </w:rPr>
        <w:t>.00).</w:t>
      </w:r>
      <w:r>
        <w:rPr>
          <w:b/>
          <w:lang w:eastAsia="en-GB"/>
        </w:rPr>
        <w:t xml:space="preserve"> This fee is in addition to the main licence fee for the Treated Effluent licence</w:t>
      </w:r>
      <w:r w:rsidR="00905C99">
        <w:rPr>
          <w:b/>
          <w:lang w:eastAsia="en-GB"/>
        </w:rPr>
        <w:t xml:space="preserve"> and will include a fee for carrying out searches for any buried statutory undertaker services/buried apparatus.</w:t>
      </w:r>
    </w:p>
    <w:p w14:paraId="101C92F6" w14:textId="77777777" w:rsidR="00702833" w:rsidRDefault="00702833"/>
    <w:p w14:paraId="5DF503E5" w14:textId="214B0EC0" w:rsidR="00A169AF" w:rsidRDefault="00A169AF"/>
    <w:p w14:paraId="25627C11" w14:textId="77777777" w:rsidR="008259C9" w:rsidRDefault="008259C9">
      <w:pPr>
        <w:rPr>
          <w:b/>
          <w:sz w:val="28"/>
          <w:szCs w:val="28"/>
        </w:rPr>
      </w:pPr>
      <w:r>
        <w:rPr>
          <w:b/>
          <w:sz w:val="28"/>
          <w:szCs w:val="28"/>
        </w:rPr>
        <w:br w:type="page"/>
      </w:r>
    </w:p>
    <w:p w14:paraId="1BA33E23" w14:textId="5781B0A5" w:rsidR="00A169AF" w:rsidRDefault="00A169AF" w:rsidP="00A169AF">
      <w:pPr>
        <w:jc w:val="center"/>
        <w:rPr>
          <w:b/>
          <w:sz w:val="28"/>
          <w:szCs w:val="28"/>
        </w:rPr>
      </w:pPr>
      <w:r w:rsidRPr="00A169AF">
        <w:rPr>
          <w:b/>
          <w:sz w:val="28"/>
          <w:szCs w:val="28"/>
        </w:rPr>
        <w:lastRenderedPageBreak/>
        <w:t>APPENDIX A</w:t>
      </w:r>
    </w:p>
    <w:p w14:paraId="6093854D" w14:textId="77777777" w:rsidR="00A169AF" w:rsidRDefault="00A169AF" w:rsidP="00A169AF">
      <w:pPr>
        <w:jc w:val="center"/>
        <w:rPr>
          <w:b/>
          <w:sz w:val="28"/>
          <w:szCs w:val="28"/>
        </w:rPr>
      </w:pPr>
      <w:r>
        <w:rPr>
          <w:b/>
          <w:sz w:val="28"/>
          <w:szCs w:val="28"/>
        </w:rPr>
        <w:t xml:space="preserve">Specification and drawings of Concrete </w:t>
      </w:r>
      <w:proofErr w:type="spellStart"/>
      <w:r>
        <w:rPr>
          <w:b/>
          <w:sz w:val="28"/>
          <w:szCs w:val="28"/>
        </w:rPr>
        <w:t>Bagwork</w:t>
      </w:r>
      <w:proofErr w:type="spellEnd"/>
      <w:r>
        <w:rPr>
          <w:b/>
          <w:sz w:val="28"/>
          <w:szCs w:val="28"/>
        </w:rPr>
        <w:t xml:space="preserve"> (HWC/49)</w:t>
      </w:r>
    </w:p>
    <w:p w14:paraId="166DCAD8" w14:textId="77777777" w:rsidR="00A169AF" w:rsidRPr="00A169AF" w:rsidRDefault="00A169AF" w:rsidP="00A169AF">
      <w:pPr>
        <w:jc w:val="center"/>
        <w:rPr>
          <w:sz w:val="28"/>
          <w:szCs w:val="28"/>
        </w:rPr>
      </w:pPr>
      <w:r>
        <w:rPr>
          <w:noProof/>
          <w:lang w:eastAsia="en-GB"/>
        </w:rPr>
        <w:drawing>
          <wp:inline distT="0" distB="0" distL="0" distR="0" wp14:anchorId="1A808008" wp14:editId="06F44CD4">
            <wp:extent cx="5120505" cy="7229475"/>
            <wp:effectExtent l="0" t="0" r="4445" b="0"/>
            <wp:docPr id="4" name="Picture 4" descr="Specification and drawings of concrete bag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hay\Pictures\HWC49 Concrete Bagw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5133535" cy="7247872"/>
                    </a:xfrm>
                    <a:prstGeom prst="rect">
                      <a:avLst/>
                    </a:prstGeom>
                    <a:noFill/>
                    <a:ln>
                      <a:noFill/>
                    </a:ln>
                  </pic:spPr>
                </pic:pic>
              </a:graphicData>
            </a:graphic>
          </wp:inline>
        </w:drawing>
      </w:r>
    </w:p>
    <w:sectPr w:rsidR="00A169AF" w:rsidRPr="00A169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359E" w14:textId="77777777" w:rsidR="00736186" w:rsidRDefault="00736186" w:rsidP="008A05EB">
      <w:pPr>
        <w:spacing w:after="0"/>
      </w:pPr>
      <w:r>
        <w:separator/>
      </w:r>
    </w:p>
  </w:endnote>
  <w:endnote w:type="continuationSeparator" w:id="0">
    <w:p w14:paraId="53DF78CB" w14:textId="77777777" w:rsidR="00736186" w:rsidRDefault="00736186" w:rsidP="008A0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1746" w14:textId="77777777" w:rsidR="00736186" w:rsidRDefault="00736186" w:rsidP="008A05EB">
      <w:pPr>
        <w:spacing w:after="0"/>
      </w:pPr>
      <w:r>
        <w:separator/>
      </w:r>
    </w:p>
  </w:footnote>
  <w:footnote w:type="continuationSeparator" w:id="0">
    <w:p w14:paraId="6B75418D" w14:textId="77777777" w:rsidR="00736186" w:rsidRDefault="00736186" w:rsidP="008A0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259C9" w14:paraId="6237AD8F" w14:textId="77777777" w:rsidTr="008259C9">
      <w:tc>
        <w:tcPr>
          <w:tcW w:w="3005" w:type="dxa"/>
        </w:tcPr>
        <w:p w14:paraId="3B3D9E94" w14:textId="4A35BBC3" w:rsidR="008259C9" w:rsidRDefault="008259C9">
          <w:pPr>
            <w:pStyle w:val="Header"/>
          </w:pPr>
          <w:r>
            <w:rPr>
              <w:noProof/>
            </w:rPr>
            <w:drawing>
              <wp:inline distT="0" distB="0" distL="0" distR="0" wp14:anchorId="0A710162" wp14:editId="7F52F51F">
                <wp:extent cx="1230148" cy="7905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32929" cy="792362"/>
                        </a:xfrm>
                        <a:prstGeom prst="rect">
                          <a:avLst/>
                        </a:prstGeom>
                      </pic:spPr>
                    </pic:pic>
                  </a:graphicData>
                </a:graphic>
              </wp:inline>
            </w:drawing>
          </w:r>
        </w:p>
      </w:tc>
      <w:tc>
        <w:tcPr>
          <w:tcW w:w="3005" w:type="dxa"/>
        </w:tcPr>
        <w:p w14:paraId="45F955A1" w14:textId="77777777" w:rsidR="008259C9" w:rsidRDefault="008259C9">
          <w:pPr>
            <w:pStyle w:val="Header"/>
          </w:pPr>
        </w:p>
      </w:tc>
      <w:tc>
        <w:tcPr>
          <w:tcW w:w="3006" w:type="dxa"/>
        </w:tcPr>
        <w:p w14:paraId="0956CE5E" w14:textId="77777777" w:rsidR="008259C9" w:rsidRDefault="008259C9">
          <w:pPr>
            <w:pStyle w:val="Header"/>
          </w:pPr>
        </w:p>
      </w:tc>
    </w:tr>
  </w:tbl>
  <w:p w14:paraId="3561DB1E" w14:textId="77777777" w:rsidR="008259C9" w:rsidRDefault="00825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023"/>
    <w:multiLevelType w:val="hybridMultilevel"/>
    <w:tmpl w:val="70169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340F0A"/>
    <w:multiLevelType w:val="hybridMultilevel"/>
    <w:tmpl w:val="32FE9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91E8C"/>
    <w:multiLevelType w:val="multilevel"/>
    <w:tmpl w:val="30EC4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C11832"/>
    <w:multiLevelType w:val="multilevel"/>
    <w:tmpl w:val="E0141C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81597C"/>
    <w:multiLevelType w:val="multilevel"/>
    <w:tmpl w:val="75EE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760769">
    <w:abstractNumId w:val="4"/>
  </w:num>
  <w:num w:numId="2" w16cid:durableId="1546942281">
    <w:abstractNumId w:val="2"/>
    <w:lvlOverride w:ilvl="0">
      <w:lvl w:ilvl="0">
        <w:numFmt w:val="decimal"/>
        <w:lvlText w:val="%1."/>
        <w:lvlJc w:val="left"/>
      </w:lvl>
    </w:lvlOverride>
  </w:num>
  <w:num w:numId="3" w16cid:durableId="588001017">
    <w:abstractNumId w:val="3"/>
    <w:lvlOverride w:ilvl="0">
      <w:lvl w:ilvl="0">
        <w:numFmt w:val="decimal"/>
        <w:lvlText w:val="%1."/>
        <w:lvlJc w:val="left"/>
      </w:lvl>
    </w:lvlOverride>
  </w:num>
  <w:num w:numId="4" w16cid:durableId="1243562405">
    <w:abstractNumId w:val="3"/>
    <w:lvlOverride w:ilvl="0">
      <w:lvl w:ilvl="0">
        <w:numFmt w:val="decimal"/>
        <w:lvlText w:val="%1."/>
        <w:lvlJc w:val="left"/>
      </w:lvl>
    </w:lvlOverride>
  </w:num>
  <w:num w:numId="5" w16cid:durableId="990519091">
    <w:abstractNumId w:val="3"/>
    <w:lvlOverride w:ilvl="0">
      <w:lvl w:ilvl="0">
        <w:numFmt w:val="decimal"/>
        <w:lvlText w:val="%1."/>
        <w:lvlJc w:val="left"/>
      </w:lvl>
    </w:lvlOverride>
  </w:num>
  <w:num w:numId="6" w16cid:durableId="748312419">
    <w:abstractNumId w:val="1"/>
  </w:num>
  <w:num w:numId="7" w16cid:durableId="137319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AF"/>
    <w:rsid w:val="000B0C82"/>
    <w:rsid w:val="002165CD"/>
    <w:rsid w:val="003B0CAF"/>
    <w:rsid w:val="0047759A"/>
    <w:rsid w:val="00593774"/>
    <w:rsid w:val="00620841"/>
    <w:rsid w:val="006D3E02"/>
    <w:rsid w:val="00702833"/>
    <w:rsid w:val="00736186"/>
    <w:rsid w:val="00755710"/>
    <w:rsid w:val="008259C9"/>
    <w:rsid w:val="008A05EB"/>
    <w:rsid w:val="00905C99"/>
    <w:rsid w:val="009503F7"/>
    <w:rsid w:val="00A01696"/>
    <w:rsid w:val="00A169AF"/>
    <w:rsid w:val="00AC0CBF"/>
    <w:rsid w:val="00AC1945"/>
    <w:rsid w:val="00AE1293"/>
    <w:rsid w:val="00BF1AE6"/>
    <w:rsid w:val="00C2067D"/>
    <w:rsid w:val="00CC2F3E"/>
    <w:rsid w:val="00E64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91928"/>
  <w15:docId w15:val="{2C20C3C3-24AC-4F56-A674-F48364F8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AE6"/>
    <w:pPr>
      <w:spacing w:before="240" w:after="240" w:line="240" w:lineRule="auto"/>
    </w:pPr>
    <w:rPr>
      <w:rFonts w:ascii="Arial" w:hAnsi="Arial"/>
    </w:rPr>
  </w:style>
  <w:style w:type="paragraph" w:styleId="Heading1">
    <w:name w:val="heading 1"/>
    <w:basedOn w:val="Normal"/>
    <w:next w:val="Normal"/>
    <w:link w:val="Heading1Char"/>
    <w:uiPriority w:val="9"/>
    <w:qFormat/>
    <w:rsid w:val="00BF1AE6"/>
    <w:pPr>
      <w:keepNext/>
      <w:keepLines/>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F1AE6"/>
    <w:pPr>
      <w:keepNext/>
      <w:keepLines/>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AF"/>
    <w:rPr>
      <w:rFonts w:ascii="Tahoma" w:hAnsi="Tahoma" w:cs="Tahoma"/>
      <w:sz w:val="16"/>
      <w:szCs w:val="16"/>
    </w:rPr>
  </w:style>
  <w:style w:type="paragraph" w:styleId="NormalWeb">
    <w:name w:val="Normal (Web)"/>
    <w:basedOn w:val="Normal"/>
    <w:uiPriority w:val="99"/>
    <w:semiHidden/>
    <w:unhideWhenUsed/>
    <w:rsid w:val="00A0169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A05EB"/>
    <w:rPr>
      <w:color w:val="0000FF" w:themeColor="hyperlink"/>
      <w:u w:val="single"/>
    </w:rPr>
  </w:style>
  <w:style w:type="character" w:styleId="UnresolvedMention">
    <w:name w:val="Unresolved Mention"/>
    <w:basedOn w:val="DefaultParagraphFont"/>
    <w:uiPriority w:val="99"/>
    <w:semiHidden/>
    <w:unhideWhenUsed/>
    <w:rsid w:val="008A05EB"/>
    <w:rPr>
      <w:color w:val="605E5C"/>
      <w:shd w:val="clear" w:color="auto" w:fill="E1DFDD"/>
    </w:rPr>
  </w:style>
  <w:style w:type="paragraph" w:styleId="Header">
    <w:name w:val="header"/>
    <w:basedOn w:val="Normal"/>
    <w:link w:val="HeaderChar"/>
    <w:uiPriority w:val="99"/>
    <w:unhideWhenUsed/>
    <w:rsid w:val="008259C9"/>
    <w:pPr>
      <w:tabs>
        <w:tab w:val="center" w:pos="4513"/>
        <w:tab w:val="right" w:pos="9026"/>
      </w:tabs>
      <w:spacing w:after="0"/>
    </w:pPr>
  </w:style>
  <w:style w:type="character" w:customStyle="1" w:styleId="HeaderChar">
    <w:name w:val="Header Char"/>
    <w:basedOn w:val="DefaultParagraphFont"/>
    <w:link w:val="Header"/>
    <w:uiPriority w:val="99"/>
    <w:rsid w:val="008259C9"/>
  </w:style>
  <w:style w:type="paragraph" w:styleId="Footer">
    <w:name w:val="footer"/>
    <w:basedOn w:val="Normal"/>
    <w:link w:val="FooterChar"/>
    <w:uiPriority w:val="99"/>
    <w:unhideWhenUsed/>
    <w:rsid w:val="008259C9"/>
    <w:pPr>
      <w:tabs>
        <w:tab w:val="center" w:pos="4513"/>
        <w:tab w:val="right" w:pos="9026"/>
      </w:tabs>
      <w:spacing w:after="0"/>
    </w:pPr>
  </w:style>
  <w:style w:type="character" w:customStyle="1" w:styleId="FooterChar">
    <w:name w:val="Footer Char"/>
    <w:basedOn w:val="DefaultParagraphFont"/>
    <w:link w:val="Footer"/>
    <w:uiPriority w:val="99"/>
    <w:rsid w:val="008259C9"/>
  </w:style>
  <w:style w:type="table" w:styleId="TableGrid">
    <w:name w:val="Table Grid"/>
    <w:basedOn w:val="TableNormal"/>
    <w:uiPriority w:val="59"/>
    <w:rsid w:val="0082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1AE6"/>
    <w:pPr>
      <w:ind w:left="720"/>
    </w:pPr>
  </w:style>
  <w:style w:type="character" w:customStyle="1" w:styleId="Heading1Char">
    <w:name w:val="Heading 1 Char"/>
    <w:basedOn w:val="DefaultParagraphFont"/>
    <w:link w:val="Heading1"/>
    <w:uiPriority w:val="9"/>
    <w:rsid w:val="00BF1AE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F1AE6"/>
    <w:rPr>
      <w:rFonts w:ascii="Arial" w:eastAsiaTheme="majorEastAsia" w:hAnsi="Arial"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81698">
      <w:bodyDiv w:val="1"/>
      <w:marLeft w:val="0"/>
      <w:marRight w:val="0"/>
      <w:marTop w:val="0"/>
      <w:marBottom w:val="0"/>
      <w:divBdr>
        <w:top w:val="none" w:sz="0" w:space="0" w:color="auto"/>
        <w:left w:val="none" w:sz="0" w:space="0" w:color="auto"/>
        <w:bottom w:val="none" w:sz="0" w:space="0" w:color="auto"/>
        <w:right w:val="none" w:sz="0" w:space="0" w:color="auto"/>
      </w:divBdr>
    </w:div>
    <w:div w:id="200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Costain Group</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Hayward</dc:creator>
  <cp:lastModifiedBy>Parker, Jay</cp:lastModifiedBy>
  <cp:revision>2</cp:revision>
  <cp:lastPrinted>2018-04-04T08:28:00Z</cp:lastPrinted>
  <dcterms:created xsi:type="dcterms:W3CDTF">2023-04-16T07:53:00Z</dcterms:created>
  <dcterms:modified xsi:type="dcterms:W3CDTF">2023-04-16T07:53:00Z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f4e3bb-2789-472c-845a-7cbc76f0c7b4_Enabled">
    <vt:lpwstr>true</vt:lpwstr>
  </property>
  <property fmtid="{D5CDD505-2E9C-101B-9397-08002B2CF9AE}" pid="3" name="MSIP_Label_40f4e3bb-2789-472c-845a-7cbc76f0c7b4_SetDate">
    <vt:lpwstr>2022-06-09T10:17:57Z</vt:lpwstr>
  </property>
  <property fmtid="{D5CDD505-2E9C-101B-9397-08002B2CF9AE}" pid="4" name="MSIP_Label_40f4e3bb-2789-472c-845a-7cbc76f0c7b4_Method">
    <vt:lpwstr>Standard</vt:lpwstr>
  </property>
  <property fmtid="{D5CDD505-2E9C-101B-9397-08002B2CF9AE}" pid="5" name="MSIP_Label_40f4e3bb-2789-472c-845a-7cbc76f0c7b4_Name">
    <vt:lpwstr>Costain Low_0</vt:lpwstr>
  </property>
  <property fmtid="{D5CDD505-2E9C-101B-9397-08002B2CF9AE}" pid="6" name="MSIP_Label_40f4e3bb-2789-472c-845a-7cbc76f0c7b4_SiteId">
    <vt:lpwstr>8cb09124-b2c7-4dab-89ab-b3781aa4e809</vt:lpwstr>
  </property>
  <property fmtid="{D5CDD505-2E9C-101B-9397-08002B2CF9AE}" pid="7" name="MSIP_Label_40f4e3bb-2789-472c-845a-7cbc76f0c7b4_ActionId">
    <vt:lpwstr>780e3cbf-5a0c-4d28-aed5-68b8460d107d</vt:lpwstr>
  </property>
  <property fmtid="{D5CDD505-2E9C-101B-9397-08002B2CF9AE}" pid="8" name="MSIP_Label_40f4e3bb-2789-472c-845a-7cbc76f0c7b4_ContentBits">
    <vt:lpwstr>0</vt:lpwstr>
  </property>
</Properties>
</file>